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before="0" w:after="86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Отделение СФР по Волгоградской области назначило более 5 тысяч </w:t>
      </w:r>
    </w:p>
    <w:p>
      <w:pPr>
        <w:pStyle w:val="Normal"/>
        <w:spacing w:before="0" w:after="86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ежемесячных выплат из материнского капитала с начала года </w:t>
      </w:r>
    </w:p>
    <w:p>
      <w:pPr>
        <w:pStyle w:val="Normal"/>
        <w:spacing w:before="0" w:after="143"/>
        <w:jc w:val="both"/>
        <w:rPr/>
      </w:pPr>
      <w:r>
        <w:rPr>
          <w:rStyle w:val="Strong"/>
          <w:rFonts w:ascii="Times New Roman" w:hAnsi="Times New Roman"/>
          <w:sz w:val="26"/>
          <w:szCs w:val="26"/>
        </w:rPr>
        <w:t>С начала 2025 года волгоградским семьям региональное Отделение СФР назначило 5 275 ежемесячных выплат из материнского капитала. Эта выплата предоставляется семьям, чей среднедушевой доход ниже двух прожиточных минимумов, и осуществляется до достижения ребенком 3 лет. 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С этого года ежемесячная выплата из материнского капитала предоставляется на каждого реб</w:t>
      </w:r>
      <w:r>
        <w:rPr>
          <w:rFonts w:ascii="Times New Roman" w:hAnsi="Times New Roman"/>
          <w:i/>
          <w:iCs/>
          <w:sz w:val="26"/>
          <w:szCs w:val="26"/>
        </w:rPr>
        <w:t>ё</w:t>
      </w:r>
      <w:r>
        <w:rPr>
          <w:rFonts w:ascii="Times New Roman" w:hAnsi="Times New Roman"/>
          <w:i/>
          <w:iCs/>
          <w:sz w:val="26"/>
          <w:szCs w:val="26"/>
        </w:rPr>
        <w:t>нка до 3 лет, включая первенца.</w:t>
      </w:r>
      <w:r>
        <w:rPr>
          <w:rFonts w:ascii="Times New Roman" w:hAnsi="Times New Roman"/>
          <w:sz w:val="26"/>
          <w:szCs w:val="26"/>
        </w:rPr>
        <w:t xml:space="preserve"> Раньше семьи могли направить маткапитал на эти цели только при появлении второго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нка, при этом родители получали одну выплату, даже если в семье имелось несколько детей до 3 лет.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получения выплаты необходимо подать заявление.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Сумма выплаты равна региональному прожиточному минимуму на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нка (</w:t>
      </w:r>
      <w:r>
        <w:rPr>
          <w:rFonts w:ascii="Times New Roman" w:hAnsi="Times New Roman"/>
          <w:i/>
          <w:iCs/>
          <w:sz w:val="26"/>
          <w:szCs w:val="26"/>
        </w:rPr>
        <w:t>в Волгоградской области - 14 793 руб.</w:t>
      </w:r>
      <w:r>
        <w:rPr>
          <w:rFonts w:ascii="Times New Roman" w:hAnsi="Times New Roman"/>
          <w:sz w:val="26"/>
          <w:szCs w:val="26"/>
        </w:rPr>
        <w:t>), и она автоматически индексируется ежегодно.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Выплата назначается Отделением СФР семьям со средним доходом менее двух прожиточных минимумов на человека. Если в семье есть несколько детей до 3 лет и при получении выплаты на одного из них доходы семьи не превысили двух прожиточных минимумов, то родители могут оформить выплату на ещ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 xml:space="preserve"> одного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нка. При этом заявление на выплату пода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тся на каждого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нка по отдельности.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Ежемесячная выплата устанавливается на 12 месяцев, но на срок не более чем до достижения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нком возраста тр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х лет. Повторное заявление о получении ежемесячной выплаты может быть подано в последний месяц периода, на который назначена указанная выплата.</w:t>
      </w:r>
    </w:p>
    <w:p>
      <w:pPr>
        <w:pStyle w:val="Normal"/>
        <w:spacing w:before="0" w:after="14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положительном рассмотрении заявления Отделение СФР по Волгоградской области перечислит средства через кредитную организацию, указанную в заявлении. Средства поступают на банковский сч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т в течение пяти рабочих дней со дня принятия решения. Последующие выплаты производятся ежемесячно — 5 числа месяца, следующего за месяцем, за который начислены соответствующие средства.</w:t>
      </w:r>
    </w:p>
    <w:p>
      <w:pPr>
        <w:pStyle w:val="Style17"/>
        <w:spacing w:before="0" w:after="200"/>
        <w:jc w:val="left"/>
        <w:rPr>
          <w:b w:val="false"/>
          <w:bCs w:val="false"/>
          <w:sz w:val="22"/>
          <w:szCs w:val="22"/>
          <w:lang w:val="ru-RU"/>
        </w:rPr>
      </w:pPr>
      <w:r>
        <w:rPr>
          <w:b w:val="false"/>
          <w:bCs w:val="false"/>
          <w:sz w:val="22"/>
          <w:szCs w:val="22"/>
          <w:lang w:val="ru-RU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290</Words>
  <Characters>1862</Characters>
  <CharactersWithSpaces>2193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2025-10-30T13:43:52Z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