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iCs w:val="0"/>
          <w:lang w:eastAsia="ru-RU"/>
        </w:rPr>
      </w:pPr>
      <w:r>
        <w:rPr>
          <w:rFonts w:ascii="PT Astra Serif" w:hAnsi="PT Astra Serif" w:cs="Times New Roman"/>
          <w:b/>
          <w:bCs/>
          <w:i w:val="0"/>
          <w:iCs w:val="0"/>
          <w:sz w:val="28"/>
          <w:szCs w:val="28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124712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790824" cy="96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/>
          <w:b/>
          <w:bCs/>
          <w:i w:val="0"/>
          <w:iCs w:val="0"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 w:val="0"/>
          <w:i w:val="0"/>
          <w:sz w:val="28"/>
          <w:szCs w:val="28"/>
        </w:rPr>
      </w:pPr>
      <w:r>
        <w:rPr>
          <w:rFonts w:ascii="PT Astra Serif" w:hAnsi="PT Astra Serif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PT Astra Serif" w:hAnsi="PT Astra Serif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jc w:val="center"/>
        <w:rPr>
          <w:rFonts w:ascii="PT Astra Serif" w:hAnsi="PT Astra Serif" w:cs="Times New Roman"/>
          <w:b/>
          <w:bCs w:val="0"/>
          <w:i w:val="0"/>
          <w:sz w:val="28"/>
          <w:szCs w:val="28"/>
          <w:highlight w:val="none"/>
        </w:rPr>
      </w:pPr>
      <w:r>
        <w:rPr>
          <w:lang w:eastAsia="ru-RU"/>
        </w:rPr>
      </w:r>
      <w:r>
        <w:rPr>
          <w:rFonts w:ascii="PT Astra Serif" w:hAnsi="PT Astra Serif" w:cs="Times New Roman"/>
          <w:b/>
          <w:bCs/>
          <w:i w:val="0"/>
          <w:iCs w:val="0"/>
          <w:sz w:val="28"/>
          <w:szCs w:val="28"/>
        </w:rPr>
        <w:t xml:space="preserve">Останется ли жилье у гражданина-банкрота?</w:t>
      </w:r>
      <w:r>
        <w:rPr>
          <w:rFonts w:ascii="PT Astra Serif" w:hAnsi="PT Astra Serif"/>
          <w:b/>
          <w:bCs/>
          <w:i w:val="0"/>
          <w:iCs w:val="0"/>
          <w:sz w:val="28"/>
          <w:szCs w:val="28"/>
        </w:rPr>
      </w:r>
      <w:r/>
    </w:p>
    <w:p>
      <w:pPr>
        <w:pStyle w:val="621"/>
        <w:jc w:val="both"/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Процедура банкротства в Российской Федерации включает несколько этапов, одним из которых является реализация имущества должника. 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Согласно Закону о банкротстве имущество должника подлежит оценке и реализации для покрытия долгов. Однако, не все активы могут быть проданы. 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Закон устанавливает определенные исключения, среди которых особое место занимает единственное жилье должника. Это положение направлено на защиту прав граждан, обеспечивая им минимальные условия для проживания.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Определение «единственного жилья» в законодательстве отсутствует. 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общему правилу под единственным жильем понимается жилое помещение, которое является для гражданина и членов его семьи единственным пригодным для постоянного проживания.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Иммунитет единственного жилья означает, что если у должника нет другого жилья, то его основное место жительства не может быть продано в рамках процедуры банкротства. 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 наличии у должника нескольких жилых помещ</w:t>
      </w:r>
      <w:r>
        <w:rPr>
          <w:rFonts w:ascii="PT Astra Serif" w:hAnsi="PT Astra Serif" w:cs="Times New Roman"/>
          <w:sz w:val="28"/>
          <w:szCs w:val="28"/>
        </w:rPr>
        <w:t xml:space="preserve">ений, принадлежащих ему на праве собственности, помещение, в отношении которого предоставляется исполнительский иммунитет, определяется судом, рассматривающим дело о банкротстве, с учетом, как удовлетворения требований кредиторов, так и защиты конституцион</w:t>
      </w:r>
      <w:r>
        <w:rPr>
          <w:rFonts w:ascii="PT Astra Serif" w:hAnsi="PT Astra Serif" w:cs="Times New Roman"/>
          <w:sz w:val="28"/>
          <w:szCs w:val="28"/>
        </w:rPr>
        <w:t xml:space="preserve">ного права на жилище самого гражданина-должника и членов его семьи, в том числе находящихся на его иждивении несовершеннолетних, престарелых, инвалидов, обеспечения указанным лицам нормальных условий существования и гарантий их социально-экономических прав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Исключение составляет жилое помещение, заложенное по договору об ипотеке.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Однако, с 08.09.2024 в рамках дела о банкротстве гражданина при определ</w:t>
      </w:r>
      <w:r>
        <w:rPr>
          <w:rFonts w:ascii="PT Astra Serif" w:hAnsi="PT Astra Serif" w:cs="Times New Roman"/>
          <w:sz w:val="28"/>
          <w:szCs w:val="28"/>
        </w:rPr>
        <w:t xml:space="preserve">енных условиях исполнительский иммунитет может приобрести также единственное пригодное для постоянного проживания гражданина и членов его семьи жилое помещение, ипотекой которого обеспечены требования кредитора, и на которое может быть обращено взыскание. 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Это возможно, если указанные требования (задолженность </w:t>
      </w:r>
      <w:r>
        <w:rPr>
          <w:rFonts w:ascii="PT Astra Serif" w:hAnsi="PT Astra Serif" w:cs="Times New Roman"/>
          <w:sz w:val="28"/>
          <w:szCs w:val="28"/>
        </w:rPr>
        <w:t xml:space="preserve">по ипотеке</w:t>
      </w:r>
      <w:r>
        <w:rPr>
          <w:rFonts w:ascii="PT Astra Serif" w:hAnsi="PT Astra Serif" w:cs="Times New Roman"/>
          <w:sz w:val="28"/>
          <w:szCs w:val="28"/>
        </w:rPr>
        <w:t xml:space="preserve">) удовлетворит третье лицо либо если в отношении такого жилого помещения с кредитором (кредиторами) будет заключено отдельное мировое соглашение.</w:t>
      </w:r>
      <w:r>
        <w:rPr>
          <w:rFonts w:ascii="PT Astra Serif" w:hAnsi="PT Astra Serif"/>
          <w:sz w:val="28"/>
          <w:szCs w:val="28"/>
        </w:rPr>
      </w:r>
    </w:p>
    <w:p>
      <w:pPr>
        <w:pStyle w:val="621"/>
        <w:ind w:left="0" w:right="0" w:firstLine="737"/>
        <w:jc w:val="both"/>
        <w:spacing w:before="0" w:after="0" w:line="240" w:lineRule="auto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«Сохранение иммунитета единственного жи</w:t>
      </w:r>
      <w:r>
        <w:rPr>
          <w:rFonts w:ascii="PT Astra Serif" w:hAnsi="PT Astra Serif" w:cs="Times New Roman"/>
          <w:sz w:val="28"/>
          <w:szCs w:val="28"/>
        </w:rPr>
        <w:t xml:space="preserve">лья актуально не только с точки зрения социальной справедливости, но и в контексте правовой стабильности и защиты жилищных прав граждан в процедуре банкротства» - отмечает руководитель Управления Росреестра по Волгоградской области Наталья Сапега.            </w:t>
      </w:r>
      <w:r>
        <w:rPr>
          <w:rFonts w:ascii="PT Astra Serif" w:hAnsi="PT Astra Serif" w:cs="Times New Roman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spacing w:before="720" w:after="0" w:line="240" w:lineRule="auto"/>
        <w:tabs>
          <w:tab w:val="left" w:pos="577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Заборовская Юлия Анатольевна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Волгоградской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Mob: +7(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937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531-22-98</w:t>
      </w: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10" w:tooltip="zab.j@r34.rosreestr.ru" w:history="1">
        <w:r>
          <w:rPr>
            <w:rStyle w:val="624"/>
            <w:rFonts w:ascii="Times New Roman" w:hAnsi="Times New Roman" w:cs="Times New Roman"/>
            <w:sz w:val="26"/>
            <w:szCs w:val="26"/>
            <w:lang w:val="en-US"/>
          </w:rPr>
          <w:t xml:space="preserve">zab.j@r34.rosreestr.ru</w:t>
        </w:r>
      </w:hyperlink>
      <w:r/>
      <w:bookmarkStart w:id="0" w:name="undefined"/>
      <w:r/>
      <w:bookmarkEnd w:id="0"/>
      <w:r>
        <w:rPr>
          <w:rStyle w:val="624"/>
          <w:rFonts w:ascii="Times New Roman" w:hAnsi="Times New Roman" w:cs="Times New Roman"/>
          <w:sz w:val="26"/>
          <w:szCs w:val="26"/>
          <w:lang w:val="en-US"/>
        </w:rPr>
      </w:r>
      <w:r>
        <w:rPr>
          <w:rStyle w:val="624"/>
          <w:rFonts w:ascii="Times New Roman" w:hAnsi="Times New Roman" w:cs="Times New Roman"/>
          <w:sz w:val="26"/>
          <w:szCs w:val="26"/>
          <w:lang w:val="en-US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21"/>
        <w:ind w:firstLine="0"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7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PT Astra Serif" w:hAnsi="PT Astra Serif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28"/>
    <w:link w:val="44"/>
    <w:uiPriority w:val="99"/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22" w:default="1">
    <w:name w:val="Default Paragraph Font"/>
    <w:uiPriority w:val="1"/>
    <w:semiHidden/>
    <w:unhideWhenUsed/>
    <w:qFormat/>
  </w:style>
  <w:style w:type="character" w:styleId="623" w:customStyle="1">
    <w:name w:val="Текст выноски Знак"/>
    <w:basedOn w:val="622"/>
    <w:link w:val="631"/>
    <w:uiPriority w:val="99"/>
    <w:semiHidden/>
    <w:qFormat/>
    <w:rPr>
      <w:rFonts w:ascii="Segoe UI" w:hAnsi="Segoe UI" w:cs="Segoe UI"/>
      <w:sz w:val="18"/>
      <w:szCs w:val="18"/>
    </w:rPr>
  </w:style>
  <w:style w:type="character" w:styleId="624">
    <w:name w:val="Hyperlink"/>
    <w:rPr>
      <w:color w:val="000080"/>
      <w:u w:val="single"/>
    </w:rPr>
  </w:style>
  <w:style w:type="paragraph" w:styleId="625">
    <w:name w:val="Заголовок"/>
    <w:basedOn w:val="621"/>
    <w:next w:val="62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6">
    <w:name w:val="Body Text"/>
    <w:basedOn w:val="621"/>
    <w:pPr>
      <w:spacing w:before="0" w:after="140" w:line="276" w:lineRule="auto"/>
    </w:pPr>
  </w:style>
  <w:style w:type="paragraph" w:styleId="627">
    <w:name w:val="List"/>
    <w:basedOn w:val="626"/>
    <w:rPr>
      <w:rFonts w:ascii="PT Astra Serif" w:hAnsi="PT Astra Serif" w:cs="Noto Sans Devanagari"/>
    </w:rPr>
  </w:style>
  <w:style w:type="paragraph" w:styleId="628">
    <w:name w:val="Caption"/>
    <w:basedOn w:val="62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9">
    <w:name w:val="Указатель"/>
    <w:basedOn w:val="621"/>
    <w:qFormat/>
    <w:pPr>
      <w:suppressLineNumbers/>
    </w:pPr>
    <w:rPr>
      <w:rFonts w:ascii="PT Astra Serif" w:hAnsi="PT Astra Serif" w:cs="Noto Sans Devanagari"/>
    </w:rPr>
  </w:style>
  <w:style w:type="paragraph" w:styleId="630">
    <w:name w:val="List Paragraph"/>
    <w:basedOn w:val="621"/>
    <w:uiPriority w:val="34"/>
    <w:qFormat/>
    <w:pPr>
      <w:contextualSpacing/>
      <w:ind w:left="720" w:firstLine="0"/>
      <w:spacing w:before="0" w:after="160"/>
    </w:pPr>
  </w:style>
  <w:style w:type="paragraph" w:styleId="631">
    <w:name w:val="Balloon Text"/>
    <w:basedOn w:val="621"/>
    <w:link w:val="623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32" w:default="1">
    <w:name w:val="No List"/>
    <w:uiPriority w:val="99"/>
    <w:semiHidden/>
    <w:unhideWhenUsed/>
    <w:qFormat/>
  </w:style>
  <w:style w:type="table" w:styleId="6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dc:description/>
  <dc:language>ru-RU</dc:language>
  <cp:revision>17</cp:revision>
  <dcterms:created xsi:type="dcterms:W3CDTF">2021-12-02T11:42:00Z</dcterms:created>
  <dcterms:modified xsi:type="dcterms:W3CDTF">2025-08-14T15:36:23Z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